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33 Allée des Boiseries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porte d'entrée existante — et mise en décharge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porte d'entrée bois massif chêne — Dimensions 215×90 cm, vitrage sécurité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porte d'entrée + huisserie + quincaillerie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MEN-04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et pose seuil aluminium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menuisier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2080.00 €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416.00 €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2496.00 €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