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22 Rue du Carrelage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ancien carrelage sol + évacuation gravats — Salle de bain — environ 8 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Ragréage et préparation du sol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144.00 €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carrelage grès cérame 60×60 (pose droite)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Joint de carrelage (coloris au choix)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64.00 €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carreleur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1393.00 €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278.60 €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1671.60 €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